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numPr>
          <w:ilvl w:val="5"/>
          <w:numId w:val="1"/>
        </w:numPr>
        <w:ind w:left="1152" w:hanging="1152"/>
        <w:jc w:val="center"/>
        <w:rPr>
          <w:rFonts w:ascii="Calibri" w:cs="Calibri" w:eastAsia="Calibri" w:hAnsi="Calibri"/>
          <w:color w:val="7d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7d0000"/>
          <w:sz w:val="28"/>
          <w:szCs w:val="28"/>
          <w:rtl w:val="0"/>
        </w:rPr>
        <w:t xml:space="preserve">KARTA ZGŁOSZENIA UCZESTNICTWA w KONFERENCJI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-214628</wp:posOffset>
            </wp:positionV>
            <wp:extent cx="1645920" cy="57276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72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-214628</wp:posOffset>
            </wp:positionV>
            <wp:extent cx="1960920" cy="595080"/>
            <wp:effectExtent b="0" l="0" r="0" t="0"/>
            <wp:wrapSquare wrapText="bothSides" distB="0" distT="0" distL="0" distR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0920" cy="595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right="0" w:hanging="284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7d0000"/>
          <w:sz w:val="26"/>
          <w:szCs w:val="26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1"/>
          <w:color w:val="7d0000"/>
          <w:sz w:val="26"/>
          <w:szCs w:val="26"/>
          <w:rtl w:val="0"/>
        </w:rPr>
        <w:t xml:space="preserve">DRZWI OTWARTE CENTRUM ZARZĄDZANIA RUCHEM - KATOWICE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7d0000"/>
          <w:sz w:val="26"/>
          <w:szCs w:val="26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7d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d0000"/>
          <w:sz w:val="26"/>
          <w:szCs w:val="26"/>
          <w:rtl w:val="0"/>
        </w:rPr>
        <w:t xml:space="preserve">18-19 czerwca 2026 r., Katowice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3415a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415a5"/>
          <w:sz w:val="28"/>
          <w:szCs w:val="28"/>
          <w:rtl w:val="0"/>
        </w:rPr>
        <w:t xml:space="preserve">Konferencja objęta Honorowym Patronatem Prezydenta Miasta Katowice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82" w:right="0" w:firstLine="566.000000000000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Organizatorzy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3869690</wp:posOffset>
            </wp:positionH>
            <wp:positionV relativeFrom="paragraph">
              <wp:posOffset>141605</wp:posOffset>
            </wp:positionV>
            <wp:extent cx="1645920" cy="57277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72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751205</wp:posOffset>
            </wp:positionH>
            <wp:positionV relativeFrom="paragraph">
              <wp:posOffset>149860</wp:posOffset>
            </wp:positionV>
            <wp:extent cx="1960880" cy="59499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594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left="142" w:right="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2" w:right="0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2" w:right="0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Zakres uczestnictwa, opłata</w:t>
        <w:tab/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Uczestnictwo dla 2 reprezentantów sektora publicznego</w:t>
        <w:tab/>
        <w:t xml:space="preserve">     </w:t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0 PLN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bezpłatnie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Uczestnictwo członków Stowarzyszenia ITS POLSKA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       </w:t>
        <w:tab/>
        <w:tab/>
        <w:t xml:space="preserve">345 PLN netto + 23% 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Uczestnictwo dla reprezentantów uczelni                     </w:t>
        <w:tab/>
        <w:t xml:space="preserve">    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345 PLN netto + 23% 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before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Uczestnictwo osoby niezrzeszonej               </w:t>
        <w:tab/>
        <w:tab/>
        <w:t xml:space="preserve">    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    </w:t>
        <w:tab/>
        <w:tab/>
        <w:t xml:space="preserve">690 PLN netto + 23% 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0" w:lineRule="auto"/>
        <w:ind w:left="360" w:right="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Uczestnictwo partnera merytorycznego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   </w:t>
        <w:tab/>
        <w:t xml:space="preserve">            5 250 PLN netto + 23% 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232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W cenę wliczone jest: uczestnictwo w konferencji oraz zwiedzanie CZR, świadczenia cateringowe 1 dnia: dwie przerwy kawowe oraz kolację. Cena nie zawiera: przejazdów oraz noclegów.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Kartę zgłoszenia należy przesłać na adres 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sekretariat@itspolska.pl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2" w:right="232" w:firstLine="0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Sektor publiczny zgłasza maksymalnie 2 osoby z tej samej instytucji, partner merytoryczny może zgłosić do 5 osób w cenie pakietu uczestnictwa</w:t>
      </w:r>
    </w:p>
    <w:tbl>
      <w:tblPr>
        <w:tblStyle w:val="Table1"/>
        <w:tblW w:w="10412.0" w:type="dxa"/>
        <w:jc w:val="left"/>
        <w:tblInd w:w="-62.0" w:type="dxa"/>
        <w:tblBorders>
          <w:top w:color="c00000" w:space="0" w:sz="6" w:val="single"/>
          <w:left w:color="c00000" w:space="0" w:sz="6" w:val="single"/>
          <w:bottom w:color="c00000" w:space="0" w:sz="6" w:val="single"/>
          <w:right w:color="c00000" w:space="0" w:sz="6" w:val="single"/>
          <w:insideH w:color="c00000" w:space="0" w:sz="6" w:val="single"/>
          <w:insideV w:color="c00000" w:space="0" w:sz="6" w:val="single"/>
        </w:tblBorders>
        <w:tblLayout w:type="fixed"/>
        <w:tblLook w:val="0000"/>
      </w:tblPr>
      <w:tblGrid>
        <w:gridCol w:w="543"/>
        <w:gridCol w:w="2780"/>
        <w:gridCol w:w="2977"/>
        <w:gridCol w:w="4112"/>
        <w:tblGridChange w:id="0">
          <w:tblGrid>
            <w:gridCol w:w="543"/>
            <w:gridCol w:w="2780"/>
            <w:gridCol w:w="2977"/>
            <w:gridCol w:w="4112"/>
          </w:tblGrid>
        </w:tblGridChange>
      </w:tblGrid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L.p.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Stanowisko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76" w:right="7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12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76" w:right="7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12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12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12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12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76" w:right="7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12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12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12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76" w:right="7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76" w:right="7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2839"/>
          <w:tab w:val="left" w:leader="none" w:pos="3540"/>
          <w:tab w:val="left" w:leader="none" w:pos="4239"/>
          <w:tab w:val="left" w:leader="none" w:pos="4959"/>
          <w:tab w:val="left" w:leader="none" w:pos="5659"/>
          <w:tab w:val="left" w:leader="none" w:pos="6379"/>
          <w:tab w:val="left" w:leader="none" w:pos="7080"/>
          <w:tab w:val="left" w:leader="none" w:pos="7779"/>
          <w:tab w:val="left" w:leader="none" w:pos="8499"/>
          <w:tab w:val="left" w:leader="none" w:pos="8640"/>
          <w:tab w:val="left" w:leader="none" w:pos="9919"/>
          <w:tab w:val="left" w:leader="none" w:pos="10620"/>
          <w:tab w:val="left" w:leader="none" w:pos="11319"/>
          <w:tab w:val="left" w:leader="none" w:pos="12039"/>
          <w:tab w:val="left" w:leader="none" w:pos="12739"/>
        </w:tabs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-65.0" w:type="dxa"/>
        <w:tblBorders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1"/>
          <w:trHeight w:val="294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120" w:before="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Imię i nazwisko osoby do kontaktu:</w:t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120" w:before="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Nazwa firmy:                                                                            tel.:                                                      e-mail:</w:t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120" w:before="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Adres do korespondencji: </w:t>
            </w:r>
          </w:p>
        </w:tc>
      </w:tr>
    </w:tbl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" w:right="0" w:hanging="129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ZAMÓWIENIE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Partner merytoryczny wypełnia w tabeli wyłącznie pole „Wartość zamówienia brutto” wpisując kwotę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6 457,50 PLN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(5 250 PLN netto + 23% VAT).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99.0" w:type="dxa"/>
        <w:tblBorders>
          <w:top w:color="c00000" w:space="0" w:sz="6" w:val="single"/>
          <w:left w:color="c00000" w:space="0" w:sz="6" w:val="single"/>
          <w:bottom w:color="c00000" w:space="0" w:sz="6" w:val="single"/>
          <w:right w:color="c00000" w:space="0" w:sz="6" w:val="single"/>
          <w:insideH w:color="c00000" w:space="0" w:sz="6" w:val="single"/>
          <w:insideV w:color="c00000" w:space="0" w:sz="6" w:val="single"/>
        </w:tblBorders>
        <w:tblLayout w:type="fixed"/>
        <w:tblLook w:val="0000"/>
      </w:tblPr>
      <w:tblGrid>
        <w:gridCol w:w="1349"/>
        <w:gridCol w:w="1799"/>
        <w:gridCol w:w="1799"/>
        <w:gridCol w:w="1889"/>
        <w:gridCol w:w="1665"/>
        <w:gridCol w:w="1989"/>
        <w:tblGridChange w:id="0">
          <w:tblGrid>
            <w:gridCol w:w="1349"/>
            <w:gridCol w:w="1799"/>
            <w:gridCol w:w="1799"/>
            <w:gridCol w:w="1889"/>
            <w:gridCol w:w="1665"/>
            <w:gridCol w:w="1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pStyle w:val="Heading2"/>
              <w:numPr>
                <w:ilvl w:val="1"/>
                <w:numId w:val="1"/>
              </w:numPr>
              <w:ind w:left="576" w:hanging="576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Rodzaj usługi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Koszt uczestnictwa netto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(a)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Ilość uczestników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(b)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Wartość zamówienia netto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(a) x (b)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VAT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23%</w:t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Wartość zamówienia brutto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Udział</w:t>
              <w:br w:type="textWrapping"/>
              <w:t xml:space="preserve">w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konferencji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Wraz z niniejszym zgłoszeniem zobowiązujemy się do uiszczenia należnej kwoty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konto organizatora konferencji: Stowarzyszenie Inteligentne Systemy Transportowe ITS POLSKA, al. Jana Pawła II 27, 00-687 Warszawa konto nr: 76 1090 1043 0000 0001 0777 1527.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Rezygnacja z pakietu współpracy merytorycznej bez ponoszenia kosztów możliwa jest najpóźniej 14 dni przed terminem konferencji.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 tym terminie, w związku z przygotowaniami organizacyjnymi wydarzenia, Partner zobowiązuje się do pokrycia kosztów wynikających </w:t>
        <w:br w:type="textWrapping"/>
        <w:t xml:space="preserve">z zamówionego pakietu współpracy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merytorycznej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142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Oświadczam/y, że firma jest/nie jest płatnikiem podatku VAT. Upoważniamy Stowarzyszenie Inteligentne Systemy Transportowe ITS POLSKA do wystawienia faktury VAT bez podpisu odbiorcy oraz do przesłania dokumentu księgowego drogą elektroniczną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4"/>
        <w:tblW w:w="10560.0" w:type="dxa"/>
        <w:jc w:val="left"/>
        <w:tblInd w:w="-139.0" w:type="dxa"/>
        <w:tblBorders>
          <w:left w:color="003366" w:space="0" w:sz="4" w:val="single"/>
          <w:bottom w:color="000080" w:space="0" w:sz="4" w:val="single"/>
          <w:right w:color="003366" w:space="0" w:sz="4" w:val="single"/>
          <w:insideH w:color="000080" w:space="0" w:sz="4" w:val="single"/>
          <w:insideV w:color="003366" w:space="0" w:sz="4" w:val="single"/>
        </w:tblBorders>
        <w:tblLayout w:type="fixed"/>
        <w:tblLook w:val="00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left w:color="003366" w:space="0" w:sz="4" w:val="single"/>
              <w:bottom w:color="000080" w:space="0" w:sz="4" w:val="single"/>
              <w:right w:color="003366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single"/>
                <w:rtl w:val="0"/>
              </w:rPr>
              <w:t xml:space="preserve">Dane do faktury:       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Nazwa firmy:                                                                                                                                                                NIP:</w:t>
            </w:r>
          </w:p>
        </w:tc>
      </w:tr>
      <w:tr>
        <w:trPr>
          <w:cantSplit w:val="1"/>
          <w:trHeight w:val="371" w:hRule="atLeast"/>
          <w:tblHeader w:val="0"/>
        </w:trPr>
        <w:tc>
          <w:tcPr>
            <w:tcBorders>
              <w:top w:color="000080" w:space="0" w:sz="4" w:val="single"/>
              <w:left w:color="003366" w:space="0" w:sz="4" w:val="single"/>
              <w:bottom w:color="000080" w:space="0" w:sz="4" w:val="single"/>
              <w:right w:color="003366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Kod pocztowy:                                          Miejscowość:                                                           Ulica: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</w:t>
        <w:tab/>
        <w:tab/>
        <w:tab/>
        <w:tab/>
        <w:t xml:space="preserve">_________________</w:t>
        <w:tab/>
        <w:tab/>
        <w:t xml:space="preserve">      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miejscowość, data</w:t>
        <w:tab/>
        <w:tab/>
        <w:tab/>
        <w:t xml:space="preserve">                    </w:t>
        <w:tab/>
        <w:t xml:space="preserve"> pieczęć firmy</w:t>
        <w:tab/>
        <w:tab/>
        <w:tab/>
        <w:t xml:space="preserve">           osoba upoważniona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  <w:sectPr>
          <w:pgSz w:h="16838" w:w="11906" w:orient="portrait"/>
          <w:pgMar w:bottom="120" w:top="338" w:left="720" w:right="566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KONFERENCJA STOWARZYSZENIA ITS POLSKA i MZUiM w KATOWICACH</w:t>
      </w:r>
    </w:p>
    <w:p w:rsidR="00000000" w:rsidDel="00000000" w:rsidP="00000000" w:rsidRDefault="00000000" w:rsidRPr="00000000" w14:paraId="00000096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„Drzwi otwarte Centrum Zarządzania Ruchem - Katowice”</w:t>
      </w:r>
    </w:p>
    <w:p w:rsidR="00000000" w:rsidDel="00000000" w:rsidP="00000000" w:rsidRDefault="00000000" w:rsidRPr="00000000" w14:paraId="00000097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18-19 czerwca 2026 r., Katowice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 xml:space="preserve">W przypadku zgłoszenia udziału w dniu otwartym Centrum Sterowania Ruchem w Katowicach organizator przekaże do Miejskiego Zarządu Ulic i Mostów w Katowicach Pani/Pana imię i nazwisko w celu przygotowania listy odwiedzających, organizacji wejścia oraz zapewnienia bezpieczeństwa wizyty. Szczegółowa informacja o przetwarzaniu danych przez MZUiM, zasadach udziału w wizycie oraz monitoringu wizyjnym dostępna jest poniżej.</w:t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Informuję, że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Zapoznałem/-am się z informacją o przekazaniu moich danych do MZUiM, zasadach udziału w dniu otwartym oraz informacji o monitoringu wizyjnym.</w:t>
      </w:r>
    </w:p>
    <w:p w:rsidR="00000000" w:rsidDel="00000000" w:rsidP="00000000" w:rsidRDefault="00000000" w:rsidRPr="00000000" w14:paraId="0000009F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i w:val="1"/>
          <w:iCs w:val="1"/>
          <w:color w:val="ee0000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A3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i w:val="1"/>
          <w:iCs w:val="1"/>
          <w:color w:val="ee0000"/>
          <w:rtl w:val="0"/>
        </w:rPr>
        <w:t xml:space="preserve">Imię, Nazwisko, miejsce, data, podpis</w:t>
      </w:r>
    </w:p>
    <w:p w:rsidR="00000000" w:rsidDel="00000000" w:rsidP="00000000" w:rsidRDefault="00000000" w:rsidRPr="00000000" w14:paraId="000000A4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Pełna informacja dla osoby zapisującej się na dzień otwarty w CRS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  <w:t xml:space="preserve">Jeżeli zgłasza Pani/Pan udział w dniu otwartym Centrum Sterowania Ruchem w Katowicach, organizator wydarzenia przekaże do Miejskiego Zarządu Ulic i Mostów w Katowicach Pani/Pana imię i nazwisko.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  <w:t xml:space="preserve">Administratorem Pani/Pana danych po ich przekazaniu będzie Miejski Zarząd Ulic i Mostów w Katowicach z siedzibą przy ul. Józefy Kantorówny 2A, 40-381 Katowice, 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mzum@mzum.katowice.pl</w:t>
        </w:r>
      </w:hyperlink>
      <w:r w:rsidDel="00000000" w:rsidR="00000000" w:rsidRPr="00000000">
        <w:rPr>
          <w:rtl w:val="0"/>
        </w:rPr>
        <w:t xml:space="preserve">. Z Inspektorem Ochrony Danych można skontaktować się pod adresem: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iod@mzum.katowice.pl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 xml:space="preserve">Pani/Pana dane osobowe w zakresie imienia i nazwiska będą przetwarzane w celu sporządzenia listy uczestników dnia otwartego, weryfikacji uprawnienia do wejścia na teren obiektu, organizacji i bezpiecznego przeprowadzenia wizyty oraz ochrony mienia i informacji znajdujących się na terenie Centrum Sterowania Ruchem. Podstawą prawną przetwarzania danych osobowych jest podstawa: art. 6 ust. 1 lit. e RODO w zw. z art. 7 ust. 1 pkt 14 oraz art. 50 ust. 1 ustawy o samorządzie gminnym.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Odbiorcami Pani/Pana danych osobowych mogą być podmioty świadczące na rzecz MZUiM usługi informatyczne, ochrony osób i mienia na terenie Urzędu Miasta oraz inne podmioty uprawnione do uzyskania danych na podstawie przepisów prawa.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  <w:t xml:space="preserve">Pani/Pana dane osobowe nie będą przekazywane do państwa trzeciego ani organizacji międzynarodowej.</w:t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  <w:t xml:space="preserve">Pani/Pana dane osobowe będą przechowywane przez okres niezbędny do organizacji i przeprowadzenia dnia otwartego, a następnie przez okres niezbędny do udokumentowania przebiegu wydarzenia, archiwizacji oraz ustalenia, dochodzenia lub obrony ewentualnych roszczeń.</w:t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  <w:t xml:space="preserve">Podanie danych osobowych jest dobrowolne, ale niezbędne do zapisania się na dzień otwarty i udziału w wizycie. Niepodanie danych będzie skutkowało brakiem możliwości wpisania na listę uczestników i udziału w wydarzeniu.</w:t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  <w:t xml:space="preserve">Pani/Pana dane osobowe nie będą wykorzystywane do zautomatyzowanego podejmowania decyzji, w tym profilowania.</w:t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  <w:t xml:space="preserve">Źródłem pozyskania Pani/Pana danych osobowych jest Stowarzyszenie ITS POLSKA jako organizator rejestracji na wydarzenie, w związku ze zgłoszeniem udziału w dniu otwartym Centrum Sterowania Ruchem</w:t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  <w:t xml:space="preserve">Przysługuje Pani/Panu prawo dostępu do danych, ich sprostowania, ograniczenia przetwarzania, a w przypadkach przewidzianych prawem także prawo sprzeciwu oraz prawo wniesienia skargi do Prezesa Urzędu Ochrony Danych Osobowych: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www.uodo.gov.pl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 terenie objętym wizytą działa monitoring wizyjny</w:t>
      </w:r>
      <w:r w:rsidDel="00000000" w:rsidR="00000000" w:rsidRPr="00000000">
        <w:rPr>
          <w:rtl w:val="0"/>
        </w:rPr>
        <w:t xml:space="preserve">. Administratorem danych osobowych przetwarzanych w ramach monitoringu jest Prezydent Miasta Katowice, ul. Młyńska 4, 40-098 Katowice. Z Inspektorem Ochrony Danych można skontaktować się pod adresem: iod@katowice.eu</w:t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  <w:t xml:space="preserve">Monitoring służy zapewnieniu bezpieczeństwa osób oraz ochronie mienia. Szczegółowa klauzula informacyjna dotycząca monitoringu dostępna jest na stronie BIP Urzędu Miasta Katowice w zakładce „Ochrona danych osobowych – Monitoring”.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Zasady udziału w dniu otwartym Centrum Sterowania Ruchem: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Wejście na teren CRS odbywa się wyłącznie w wyznaczonych godzinach i pod opieką upoważnionych pracowników.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zobowiązany jest stosować się do poleceń organizatora i obsługi obiektu.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uprzedniej zgody MZUiM nie wolno fotografować, filmować ani nagrywać pomieszczeń, stanowisk operatorskich, ekranów, urządzeń, instalacji ani dokumentów znajdujących się na terenie CRS.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Zabronione jest utrwalanie, kopiowanie lub rozpowszechnianie informacji technicznych, organizacyjnych oraz dotyczących bezpieczeństwa, które nie są przeznaczone do publicznego ujawnienia.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zobowiązuje się do zachowania poufności w zakresie informacji poznanych podczas wizyty, jeżeli z ich charakteru wynika, że nie są informacjami publicznie dostępnymi.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Naruszenie zasad bezpieczeństwa lub zasad organizacyjnych może skutkować odmową wejścia albo przerwaniem wizyty.</w:t>
      </w:r>
    </w:p>
    <w:p w:rsidR="00000000" w:rsidDel="00000000" w:rsidP="00000000" w:rsidRDefault="00000000" w:rsidRPr="00000000" w14:paraId="000000C7">
      <w:pPr>
        <w:jc w:val="both"/>
        <w:rPr>
          <w:rFonts w:ascii="Calibri" w:cs="Calibri" w:eastAsia="Calibri" w:hAnsi="Calibri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09" w:top="1134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2.%3."/>
      <w:lvlJc w:val="right"/>
      <w:pPr>
        <w:ind w:left="2160" w:hanging="18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lowerLetter"/>
      <w:lvlText w:val="%2.%3.%4.%5."/>
      <w:lvlJc w:val="left"/>
      <w:pPr>
        <w:ind w:left="3600" w:hanging="360"/>
      </w:pPr>
      <w:rPr/>
    </w:lvl>
    <w:lvl w:ilvl="5">
      <w:start w:val="1"/>
      <w:numFmt w:val="lowerRoman"/>
      <w:lvlText w:val="%2.%3.%4.%5.%6."/>
      <w:lvlJc w:val="right"/>
      <w:pPr>
        <w:ind w:left="4320" w:hanging="18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both"/>
    </w:pPr>
    <w:rPr>
      <w:b w:val="1"/>
      <w:bCs w:val="1"/>
      <w:color w:val="ff0000"/>
      <w:u w:val="single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Verdana" w:cs="Verdana" w:eastAsia="Verdana" w:hAnsi="Verdana"/>
      <w:b w:val="1"/>
      <w:bCs w:val="1"/>
      <w:color w:val="000080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rFonts w:ascii="Verdana" w:cs="Verdana" w:eastAsia="Verdana" w:hAnsi="Verdana"/>
      <w:b w:val="1"/>
      <w:bCs w:val="1"/>
      <w:color w:val="000080"/>
      <w:sz w:val="18"/>
      <w:szCs w:val="18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Verdana" w:cs="Verdana" w:eastAsia="Verdana" w:hAnsi="Verdana"/>
      <w:b w:val="1"/>
      <w:bCs w:val="1"/>
      <w:smallCaps w:val="1"/>
      <w:color w:val="ffffff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</w:pPr>
    <w:rPr>
      <w:rFonts w:ascii="Arial" w:cs="Arial" w:eastAsia="Arial" w:hAnsi="Arial"/>
      <w:b w:val="1"/>
      <w:bCs w:val="1"/>
      <w:sz w:val="14"/>
      <w:szCs w:val="1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2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9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uodo.gov.pl/" TargetMode="External"/><Relationship Id="rId10" Type="http://schemas.openxmlformats.org/officeDocument/2006/relationships/hyperlink" Target="mailto:iod@mzum.katowice.pl" TargetMode="External"/><Relationship Id="rId9" Type="http://schemas.openxmlformats.org/officeDocument/2006/relationships/hyperlink" Target="mailto:mzum@mzum.katowice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ekretariat@itspolsk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